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361</w:t>
      </w:r>
    </w:p>
    <w:p>
      <w:r>
        <w:t>Bundesgericht (BGE), 2007-07-12, FR</w:t>
      </w:r>
    </w:p>
    <w:p>
      <w:r>
        <w:rPr>
          <w:b/>
        </w:rPr>
        <w:t xml:space="preserve">Quelle: </w:t>
      </w:r>
      <w:r>
        <w:t>https://mcp.opencaselaw.ch/entscheid/bge_133 II 361</w:t>
      </w:r>
    </w:p>
    <w:p>
      <w:r>
        <w:t>FR: ATF 133 II 361</w:t>
      </w:r>
    </w:p>
    <w:p>
      <w:r>
        <w:t>IT: DTF 133 II 361</w:t>
      </w:r>
    </w:p>
    <w:p>
      <w:pPr>
        <w:pStyle w:val="Heading2"/>
      </w:pPr>
      <w:r>
        <w:t>Regeste</w:t>
      </w:r>
    </w:p>
    <w:p>
      <w:r>
        <w:t>Regeste Art. 11 ff. OHG; Entschädigung des Opfers für Anwaltskosten, welche die vom Strafrichter zugesprochene Parteientschädigung übersteigen; Präzisierung der Rechtsprechung. Das Opfer, dem im Strafverfahren eine Parteientschädigung zugesprochen wird, hat nach Art. 11 ff. OHG nicht ohne weiteres Anspruch auf Entschädigung seiner Anwaltskosten, wie dies im Kanton Genf zutrifft. Die Genfer Praxis, wonach das Opfer für die Entschädigung der die zugesprochene Parteientschädigung übersteigenden Kosten an die OHG-Behörden verwiesen wird, steht mit den Grundsätzen des OHG und mit Art. 97 der Genfer Strafprozessordnung im Widerspruch (E. 3-5).</w:t>
      </w:r>
    </w:p>
    <w:p>
      <w:pPr>
        <w:pStyle w:val="Heading2"/>
      </w:pPr>
      <w:r>
        <w:t>Erwägungen</w:t>
      </w:r>
    </w:p>
    <w:p>
      <w:r>
        <w:rPr>
          <w:b/>
        </w:rPr>
        <w:t>E. 3</w:t>
      </w:r>
    </w:p>
    <w:p>
      <w:r>
        <w:t>Le DFJP soutient qu'en jugeant que l'intimée avait droit à une indemnisation en vertu des art. 11 ss de la loi fédérale du 4 octobre 1991 sur l'aide aux victimes d'infractions (LAVI; RS 312.5), alors BGE 133 II 361 S. 363 que l'auteur de l'infraction avait versé l'intégralité des sommes qu'il devait selon le jugement du Tribunal de police, le Tribunal administratif a violé les règles applicables en matière de LAVI. Il s'agit dès lors uniquement d'examiner en l'espèce si, lorsque les dépens alloués à la victime par le juge pénal incluent la couverture des frais d'avocat, cette dernière est encore légitimée à réclamer une indemnisation LAVI pour les honoraires d'avocat qui vont au-delà de cette somme.</w:t>
      </w:r>
    </w:p>
    <w:p>
      <w:r>
        <w:rPr>
          <w:b/>
        </w:rPr>
        <w:t>E. 4</w:t>
      </w:r>
    </w:p>
    <w:p>
      <w:r>
        <w:t>En matière de LAVI, la notion de dommage correspond en principe à celle du droit de la responsabilité civile ( ATF 131 II 121 consid. 2.1 p. 125; FF 1990 II 909, p. 939; PETER GOMM/DOMINIK ZEHNTNER, Kommentar zum Opferhilfegesetz, Berne 2005, p. 245; EVA WEISHAUPT, Finanzielle Ansprüche nach Opferhilfegesetz, in SJZ 98/ 2002 p. 322, 327).</w:t>
      </w:r>
    </w:p>
    <w:p>
      <w:r>
        <w:rPr>
          <w:b/>
        </w:rPr>
        <w:t>E. 4.1</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(arrêt 4C.51/2000 du 7 août 2000, consid. 2, publié in SJ 2001 I p. 153; ATF 117 II 101 consid. 5 p. 106; ATF 112 Ib 353 consid. 3a p. 356).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4.2</w:t>
      </w:r>
    </w:p>
    <w:p>
      <w:r>
        <w:t>Dans le canton de Genève, l'art. 97 al. 1 du code de procédure pénale du 29 septembre 1977 (CPP/GE; RSG E 4 20) met à la charge du condamné les dépens de la partie civile devant les juridictions de jugement. Ces dépens sont calculés conformément au tarif établi par le Conseil d'Etat ( art. 104 al. 1 CPP /GE). Selon l'art. 12 al. 1 du règlement du 29 mars 1978 fixant le tarif des frais et dépens en matière pénale (RSG E 4 20.03; ci-après: le règlement), les dépens dus par le condamné comprennent les débours ainsi qu'une participation BGE 133 II 361 S. 364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w:t>
      </w:r>
    </w:p>
    <w:p>
      <w:r>
        <w:rPr>
          <w:b/>
        </w:rPr>
        <w:t>E. 4.3</w:t>
      </w:r>
    </w:p>
    <w:p>
      <w:r>
        <w:t>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p. 337; arrêt P.287/1981 du 17 juillet 1981, consid. 3a, publié in SJ 1982 p. 289; arrêt 4C.80/1995 du 28 août 1995, consid. 2, publié in SJ 1996 p. 299; arrêt 4C.51/2000 précité, consid. 3). La partie civile ne dispose donc pas d'une prétention en dommages-intérêts pour la part non couverte par les dépens (arrêt 4C.51/ 2000 précité, consid. 3).</w:t>
      </w:r>
    </w:p>
    <w:p>
      <w:r>
        <w:rPr>
          <w:b/>
        </w:rPr>
        <w:t>E. 4.4</w:t>
      </w:r>
    </w:p>
    <w:p>
      <w:r>
        <w:t>Selon l'art. 6 du règlement, les parties, ou s'il est condamné, le plaignant, peuvent faire opposition à la taxation de l'état de frais de l'Etat ou à celle des dépens d'une partie auprès de la Cour de justice qui statue en dernier ressort.</w:t>
      </w:r>
    </w:p>
    <w:p>
      <w:r>
        <w:rPr>
          <w:b/>
        </w:rPr>
        <w:t>E. 5.1</w:t>
      </w:r>
    </w:p>
    <w:p>
      <w:r>
        <w:t>Le législateur n'a certes pas choisi de reprendre en tous points, dans le système des art. 11 ss LAVI , le régime du droit de la responsabilité civile. Des solutions spécifiques sont donc possibles ( ATF 131 II 121 consid. 2.2 p. 125 s.). En matière de détermination du dommage, des différences ne se justifient cependant qu'exceptionnellement (cf. p. ex. art. 13 al. 2 LAVI ). En effet, la LAVI n'a pas à couvrir des dommages qui vont au-delà de la responsabilité civile de l'auteur. Si une des conditions des art. 41 ss CO fait défaut, une indemnisation LAVI n'entre dès lors pas en considération (EVA WEISHAUPT, op. cit., p. 325). Le Tribunal fédéral a d'ailleurs lui-même souligné que la victime devait être admise à faire valoir, dans le cadre des art. 11 ss LAVI , des prétentions pour les différents postes du dommage qui entreraient en considération selon l' art. 41 CO ( ATF 131 II 121 consid. 2.4.4 p. 129). Il n'y a dès lors pas de raison d'admettre que la victime LAVI BGE 133 II 361 S. 365 puisse être indemnisée pour un dommage dont elle ne pourrait pas obtenir réparation selon les règles du droit de la responsabilité civile. De plus, la victime a l'obligation de limiter le dommage qu'elle subit dans toute la mesure du possible (arrêt 1A.169/2001 du 7 février 2002, consid. 3.2).</w:t>
      </w:r>
    </w:p>
    <w:p>
      <w:r>
        <w:rPr>
          <w:b/>
        </w:rPr>
        <w:t>E. 5.2</w:t>
      </w:r>
    </w:p>
    <w:p>
      <w:r>
        <w:t>Le Tribunal fédéral a, il est vrai, admis que les frais d'avocat pouvaient constituer un poste du dommage indemnisé sur la base des art. 11 ss LAVI ( ATF 131 II 121 ). Il n'a cependant fait qu'admettre le principe d'une telle indemnisation (cf. ATF 131 II 121 consid. 2.4.4 dernier paragraphe p. 129). En effet, seules étaient alors litigieuses les questions concernant les rapports de subsidiarité entre l'assistance judiciaire, l' art. 3 al. 4 LAVI et les art. 11 ss LAVI ainsi que le tarif à appliquer aux honoraires d'avocat réclamés. Le Tribunal fédéral n'a donc pas été amené à examiner dans ce cadre la question particulière du sort des dépens alloués à la victime par le juge pénal. On ne saurait dès lors déduire de la jurisprudence un droit automatique à une indemnisation des frais d'avocat fondée sur les art. 11 ss LAVI , même si des dépens ont été accordés à la victime dans le cadre du procès pénal.</w:t>
      </w:r>
    </w:p>
    <w:p>
      <w:r>
        <w:rPr>
          <w:b/>
        </w:rPr>
        <w:t>E. 5.3</w:t>
      </w:r>
    </w:p>
    <w:p>
      <w:r>
        <w:t>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w:t>
      </w:r>
    </w:p>
    <w:p>
      <w:r>
        <w:rPr>
          <w:b/>
        </w:rPr>
        <w:t>E. 5.4</w:t>
      </w:r>
    </w:p>
    <w:p>
      <w:r>
        <w:t>La pratique genevoise qui consiste à renvoyer les victimes LAVI à s'adresser à l'Instance LAVI pour obtenir le remboursement du montant qui dépasse les dépens fixés dans le cadre de la procédure pénale ne se concilie pas avec les principes de la LAVI (cf. consid. 5.2).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BGE 133 II 361 S. 366 En l'espèce, la victime n'a pas requis l'assistance judiciaire ordinaire, elle n'a pas non plus sollicité l'aide juridique du Centre de consultation LAVI et elle n'a pas contesté le montant des dépens qui lui ont été alloués par le juge pénal. Ce comportement, ajouté à la pratique genevoise en matière de dépens, a pour effet que, selon la jurisprudence rappelée plus haut (consid. 4.1), l'auteur de l'infraction ne peut être recherché pour le remboursement des frais de la victime, ce qui est contraire au principe de subsidiarité qui est à la base du système LAVI ( art. 14 LAVI et art. 4 de la future nouvelle LAVI). Dans ces conditions, la victime doit se laisser opposer un refus d'indemnisation.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